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[Фирма ЕООД] · Политика за използване на AI</w:t>
      </w:r>
    </w:p>
    <w:p>
      <w:r>
        <w:rPr>
          <w:color w:val="51616F"/>
          <w:sz w:val="18"/>
        </w:rPr>
        <w:t>Версия [1.0] · Одобрена на [дд.мм.гггг] · Отговорник [име, длъжност] · Следващ преглед [дд.мм.гггг]</w:t>
      </w:r>
    </w:p>
    <w:p>
      <w:pPr>
        <w:pStyle w:val="Heading1"/>
      </w:pPr>
      <w:r>
        <w:rPr>
          <w:color w:val="0E5F6E"/>
        </w:rPr>
        <w:t>1. Цел и обхват</w:t>
      </w:r>
    </w:p>
    <w:p>
      <w:r>
        <w:t>Тази политика определя как се използват AI инструменти във [Фирма ЕООД]. Тя важи за целия персонал и за [външни изпълнители и стажанти], както и за всички AI инструменти, включително асистентите, вградени в друг софтуер. Целта е AI да се използва ефективно, отговорно и безопасно.</w:t>
      </w:r>
    </w:p>
    <w:p>
      <w:pPr>
        <w:pStyle w:val="Heading1"/>
      </w:pPr>
      <w:r>
        <w:rPr>
          <w:color w:val="0E5F6E"/>
        </w:rPr>
        <w:t>2. Одобрени инструменти</w:t>
      </w:r>
    </w:p>
    <w:p>
      <w:r>
        <w:t>За работа могат да се използват само изброените по-долу инструменти, с фирмени акаунти. Лицензите се управляват от [име].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Инструмент</w:t>
            </w:r>
          </w:p>
        </w:tc>
        <w:tc>
          <w:tcPr>
            <w:tcW w:type="dxa" w:w="3249"/>
          </w:tcPr>
          <w:p>
            <w:r>
              <w:t>Лиценз</w:t>
            </w:r>
          </w:p>
        </w:tc>
        <w:tc>
          <w:tcPr>
            <w:tcW w:type="dxa" w:w="3249"/>
          </w:tcPr>
          <w:p>
            <w:r>
              <w:t>Разрешена употреба</w:t>
            </w:r>
          </w:p>
        </w:tc>
      </w:tr>
      <w:tr>
        <w:tc>
          <w:tcPr>
            <w:tcW w:type="dxa" w:w="3249"/>
          </w:tcPr>
          <w:p>
            <w:r>
              <w:t>[Microsoft 365 Copilot]</w:t>
            </w:r>
          </w:p>
        </w:tc>
        <w:tc>
          <w:tcPr>
            <w:tcW w:type="dxa" w:w="3249"/>
          </w:tcPr>
          <w:p>
            <w:r>
              <w:t>[Бизнес лиценз, фирмен акаунт]</w:t>
            </w:r>
          </w:p>
        </w:tc>
        <w:tc>
          <w:tcPr>
            <w:tcW w:type="dxa" w:w="3249"/>
          </w:tcPr>
          <w:p>
            <w:r>
              <w:t>[Имейли, документи, бележки от срещи, вътрешна информация]</w:t>
            </w:r>
          </w:p>
        </w:tc>
      </w:tr>
      <w:tr>
        <w:tc>
          <w:tcPr>
            <w:tcW w:type="dxa" w:w="3249"/>
          </w:tcPr>
          <w:p>
            <w:r>
              <w:t>[ChatGPT Business]</w:t>
            </w:r>
          </w:p>
        </w:tc>
        <w:tc>
          <w:tcPr>
            <w:tcW w:type="dxa" w:w="3249"/>
          </w:tcPr>
          <w:p>
            <w:r>
              <w:t>[Бизнес лиценз, фирмен акаунт]</w:t>
            </w:r>
          </w:p>
        </w:tc>
        <w:tc>
          <w:tcPr>
            <w:tcW w:type="dxa" w:w="3249"/>
          </w:tcPr>
          <w:p>
            <w:r>
              <w:t>[Чернови, резюмета, анализи, без лични данни]</w:t>
            </w:r>
          </w:p>
        </w:tc>
      </w:tr>
      <w:tr>
        <w:tc>
          <w:tcPr>
            <w:tcW w:type="dxa" w:w="3249"/>
          </w:tcPr>
          <w:p>
            <w:r>
              <w:t>[Вътрешен асистент за фирмена информация]</w:t>
            </w:r>
          </w:p>
        </w:tc>
        <w:tc>
          <w:tcPr>
            <w:tcW w:type="dxa" w:w="3249"/>
          </w:tcPr>
          <w:p>
            <w:r>
              <w:t>[Собствен на компанията]</w:t>
            </w:r>
          </w:p>
        </w:tc>
        <w:tc>
          <w:tcPr>
            <w:tcW w:type="dxa" w:w="3249"/>
          </w:tcPr>
          <w:p>
            <w:r>
              <w:t>[Указания и вътрешни документи]</w:t>
            </w:r>
          </w:p>
        </w:tc>
      </w:tr>
    </w:tbl>
    <w:p/>
    <w:p>
      <w:r>
        <w:t>Потребителски версии без бизнес акаунт (например безплатният ChatGPT или Gemini с личен акаунт) не са разрешени за служебна работа.</w:t>
      </w:r>
    </w:p>
    <w:p>
      <w:pPr>
        <w:pStyle w:val="Heading1"/>
      </w:pPr>
      <w:r>
        <w:rPr>
          <w:color w:val="0E5F6E"/>
        </w:rPr>
        <w:t>3. Забранени употреби</w:t>
      </w:r>
    </w:p>
    <w:p>
      <w:pPr>
        <w:pStyle w:val="ListBullet"/>
      </w:pPr>
      <w:r>
        <w:t>Лични данни не се въвеждат в инструменти, които не са одобрени. В одобрените инструменти лични данни се обработват само съгласно раздел 4 и когато е необходимо за задачата.</w:t>
      </w:r>
    </w:p>
    <w:p>
      <w:pPr>
        <w:pStyle w:val="ListBullet"/>
      </w:pPr>
      <w:r>
        <w:t>Не се вземат решения, засягащи хора, например при подбор на персонал, оценяване или кредитоспособност на клиент, единствено въз основа на AI и без човешка преценка.</w:t>
      </w:r>
    </w:p>
    <w:p>
      <w:pPr>
        <w:pStyle w:val="ListBullet"/>
      </w:pPr>
      <w:r>
        <w:t>AI система не се представя като човек пред клиент или партньор.</w:t>
      </w:r>
    </w:p>
    <w:p>
      <w:pPr>
        <w:pStyle w:val="ListBullet"/>
      </w:pPr>
      <w:r>
        <w:t>Въвеждане на пароли, API ключове, токени за достъп, частни ключове или други тайни в какъвто и да е AI инструмент. Няма изключения.</w:t>
      </w:r>
    </w:p>
    <w:p>
      <w:pPr>
        <w:pStyle w:val="ListBullet"/>
      </w:pPr>
      <w:r>
        <w:t>Поверителна информация и договори не се въвеждат в AI инструменти, освен когато използването им е изрично одобрено съгласно раздел 4.</w:t>
      </w:r>
    </w:p>
    <w:p>
      <w:pPr>
        <w:pStyle w:val="Heading1"/>
      </w:pPr>
      <w:r>
        <w:rPr>
          <w:color w:val="0E5F6E"/>
        </w:rPr>
        <w:t>4. Какви данни могат да се въвеждат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Категория</w:t>
            </w:r>
          </w:p>
        </w:tc>
        <w:tc>
          <w:tcPr>
            <w:tcW w:type="dxa" w:w="3249"/>
          </w:tcPr>
          <w:p>
            <w:r>
              <w:t>Примери</w:t>
            </w:r>
          </w:p>
        </w:tc>
        <w:tc>
          <w:tcPr>
            <w:tcW w:type="dxa" w:w="3249"/>
          </w:tcPr>
          <w:p>
            <w:r>
              <w:t>Правило</w:t>
            </w:r>
          </w:p>
        </w:tc>
      </w:tr>
      <w:tr>
        <w:tc>
          <w:tcPr>
            <w:tcW w:type="dxa" w:w="3249"/>
          </w:tcPr>
          <w:p>
            <w:r>
              <w:t>Зелено</w:t>
            </w:r>
          </w:p>
        </w:tc>
        <w:tc>
          <w:tcPr>
            <w:tcW w:type="dxa" w:w="3249"/>
          </w:tcPr>
          <w:p>
            <w:r>
              <w:t>Публична информация, общи текстове, собствени чернови без идентифициращи данни</w:t>
            </w:r>
          </w:p>
        </w:tc>
        <w:tc>
          <w:tcPr>
            <w:tcW w:type="dxa" w:w="3249"/>
          </w:tcPr>
          <w:p>
            <w:r>
              <w:t>Може да се използва във всички одобрени инструменти.</w:t>
            </w:r>
          </w:p>
        </w:tc>
      </w:tr>
      <w:tr>
        <w:tc>
          <w:tcPr>
            <w:tcW w:type="dxa" w:w="3249"/>
          </w:tcPr>
          <w:p>
            <w:r>
              <w:t>Жълто</w:t>
            </w:r>
          </w:p>
        </w:tc>
        <w:tc>
          <w:tcPr>
            <w:tcW w:type="dxa" w:w="3249"/>
          </w:tcPr>
          <w:p>
            <w:r>
              <w:t>Вътрешна информация: указания, шаблони за оферти, вътрешни отчети</w:t>
            </w:r>
          </w:p>
        </w:tc>
        <w:tc>
          <w:tcPr>
            <w:tcW w:type="dxa" w:w="3249"/>
          </w:tcPr>
          <w:p>
            <w:r>
              <w:t>Само в одобрени бизнес инструменти с фирмени акаунти.</w:t>
            </w:r>
          </w:p>
        </w:tc>
      </w:tr>
      <w:tr>
        <w:tc>
          <w:tcPr>
            <w:tcW w:type="dxa" w:w="3249"/>
          </w:tcPr>
          <w:p>
            <w:r>
              <w:t>Червено</w:t>
            </w:r>
          </w:p>
        </w:tc>
        <w:tc>
          <w:tcPr>
            <w:tcW w:type="dxa" w:w="3249"/>
          </w:tcPr>
          <w:p>
            <w:r>
              <w:t>Лични данни, поверителна информация на клиенти, договори, [друго, определено от компанията]</w:t>
            </w:r>
          </w:p>
        </w:tc>
        <w:tc>
          <w:tcPr>
            <w:tcW w:type="dxa" w:w="3249"/>
          </w:tcPr>
          <w:p>
            <w:r>
              <w:t>Не се въвежда, освен ако [име] не е одобрил употребата и инструмента за конкретната цел.</w:t>
            </w:r>
          </w:p>
        </w:tc>
      </w:tr>
    </w:tbl>
    <w:p/>
    <w:p>
      <w:r>
        <w:t>Паролите, API ключовете и другите тайни не влизат в никоя категория: те никога не се въвеждат (раздел 3).</w:t>
      </w:r>
    </w:p>
    <w:p>
      <w:pPr>
        <w:pStyle w:val="Heading1"/>
      </w:pPr>
      <w:r>
        <w:rPr>
          <w:color w:val="0E5F6E"/>
        </w:rPr>
        <w:t>5. Отговорност и проверка</w:t>
      </w:r>
    </w:p>
    <w:p>
      <w:r>
        <w:t>AI предлага, човекът решава. Който изпраща, публикува или използва създадено от AI съдържание, отговаря за него точно както за собствената си работа. Винаги се проверяват: числа и цени, правни позовавания, имена на хора и компании и обещания към клиенти.</w:t>
      </w:r>
    </w:p>
    <w:p>
      <w:pPr>
        <w:pStyle w:val="Heading1"/>
      </w:pPr>
      <w:r>
        <w:rPr>
          <w:color w:val="0E5F6E"/>
        </w:rPr>
        <w:t>6. Прозрачност</w:t>
      </w:r>
    </w:p>
    <w:p>
      <w:r>
        <w:t>Използването на AI като помощно средство не е нужно да се съобщава отделно. Ако клиент или партньор разговаря с AI, това винаги се съобщава. На въпрос на клиент за използването на AI се отговаря честно.</w:t>
      </w:r>
    </w:p>
    <w:p>
      <w:r>
        <w:t>Видимост в компанията: компанията вижда обемите на използване на одобрените инструменти и приложенията, свързани с фирмени акаунти [и логовете на уеб филтъра на служебните компютри]. Съдържанието на разговорите на отделни служители не се преглежда рутинно. Ако инцидент налага работа със съдържание, това се преценява отделно според приложимото право, правата за достъп и функциите на услугата. Служителите са уведомени за техническото наблюдение на [дд.мм.гггг]. Приложимите вътрешни правила и процедури са приети съгласно чл. 25и от Закона за защита на личните данни. Когато е приложимо, са изпълнени и изискванията за информиране или консултиране по трудовото законодателство. Събраните данни се използват само за предварително определените и съобщени цели.</w:t>
      </w:r>
    </w:p>
    <w:p>
      <w:pPr>
        <w:pStyle w:val="Heading1"/>
      </w:pPr>
      <w:r>
        <w:rPr>
          <w:color w:val="0E5F6E"/>
        </w:rPr>
        <w:t>7. Обучение</w:t>
      </w:r>
    </w:p>
    <w:p>
      <w:r>
        <w:t>Всеки преминава кратко въвеждащо обучение, преди да получи достъп до AI инструменти, и преминава опреснително обучение [веднъж годишно]. Участието се записва. Така компанията подкрепя развитието на AI грамотността на персонала си в съответствие с член 4 от Регламента на ЕС за изкуствения интелект.</w:t>
      </w:r>
    </w:p>
    <w:p>
      <w:pPr>
        <w:pStyle w:val="Heading1"/>
      </w:pPr>
      <w:r>
        <w:rPr>
          <w:color w:val="0E5F6E"/>
        </w:rPr>
        <w:t>8. Инциденти и докладване</w:t>
      </w:r>
    </w:p>
    <w:p>
      <w:r>
        <w:t>Ако чувствителни данни са въведени по погрешка в AI инструмент или неправилно AI-генерирано съдържание е изпратено или публикувано извън компанията, инцидентът се докладва незабавно на [име / адрес]. Добросъвестното докладване се насърчава. [Име] преценява ситуацията и необходимите действия, при нужда заедно с длъжностното лице по защита на данните.</w:t>
      </w:r>
    </w:p>
    <w:p>
      <w:pPr>
        <w:pStyle w:val="Heading1"/>
      </w:pPr>
      <w:r>
        <w:rPr>
          <w:color w:val="0E5F6E"/>
        </w:rPr>
        <w:t>9. Нови инструменти и изключения</w:t>
      </w:r>
    </w:p>
    <w:p>
      <w:r>
        <w:t>Нов инструмент или нова употреба се одобрява от [име]. Преди одобрение се проверява къде се обработват данните, използват ли се за обучение на модели, има ли договор за обработване на данни и колко струва употребата. Отговор се дава в рамките на [една седмица].</w:t>
      </w:r>
    </w:p>
    <w:p>
      <w:pPr>
        <w:pStyle w:val="Heading1"/>
      </w:pPr>
      <w:r>
        <w:rPr>
          <w:color w:val="0E5F6E"/>
        </w:rPr>
        <w:t>10. Отговорник и актуализации</w:t>
      </w:r>
    </w:p>
    <w:p>
      <w:r>
        <w:t>Отговорник за политиката е [име, длъжност]. Политиката се преглежда [на всеки шест месеца] и винаги когато списъкът с одобрени инструменти се промени. Актуалната версия се съхранява в [място].</w:t>
      </w:r>
    </w:p>
    <w:p/>
    <w:p>
      <w:r>
        <w:t>Прочетох и разбрах тази политика.    Име: ____________________    Дата: ____________</w:t>
      </w:r>
    </w:p>
    <w:p>
      <w:r>
        <w:rPr>
          <w:color w:val="51616F"/>
          <w:sz w:val="16"/>
        </w:rPr>
        <w:t>Шаблон: Työäly (tyoaly.com/bg). Практическо ръководство, не правен съвет. Може да се редактира свободно.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