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40"/>
        </w:rPr>
        <w:t>[Company Ltd] · AI use policy</w:t>
      </w:r>
    </w:p>
    <w:p>
      <w:r>
        <w:rPr>
          <w:color w:val="51616F"/>
          <w:sz w:val="18"/>
        </w:rPr>
        <w:t>Version [1.0] · Approved [dd.mm.yyyy] · Owner [name, role] · Next review [dd.mm.yyyy]</w:t>
      </w:r>
    </w:p>
    <w:p>
      <w:pPr>
        <w:pStyle w:val="Heading1"/>
      </w:pPr>
      <w:r>
        <w:rPr>
          <w:color w:val="0E5F6E"/>
        </w:rPr>
        <w:t>1. Purpose and scope</w:t>
      </w:r>
    </w:p>
    <w:p>
      <w:r>
        <w:t>This policy defines how AI tools are used at [Company Ltd]. It applies to all staff and to [contractors and trainees], and to all AI tools, including assistants built into other software. The aim is that AI is used boldly and safely.</w:t>
      </w:r>
    </w:p>
    <w:p>
      <w:pPr>
        <w:pStyle w:val="Heading1"/>
      </w:pPr>
      <w:r>
        <w:rPr>
          <w:color w:val="0E5F6E"/>
        </w:rPr>
        <w:t>2. Approved tools</w:t>
      </w:r>
    </w:p>
    <w:p>
      <w:r>
        <w:t>Only the tools listed below may be used for work, with company accounts. Licences are managed by [name].</w:t>
      </w:r>
    </w:p>
    <w:tbl>
      <w:tblPr>
        <w:tblStyle w:val="LightGrid-Accent1"/>
        <w:tblW w:type="auto" w:w="0"/>
        <w:tblLook w:firstColumn="1" w:firstRow="1" w:lastColumn="0" w:lastRow="0" w:noHBand="0" w:noVBand="1" w:val="04A0"/>
      </w:tblPr>
      <w:tblGrid>
        <w:gridCol w:w="3249"/>
        <w:gridCol w:w="3249"/>
        <w:gridCol w:w="3249"/>
      </w:tblGrid>
      <w:tr>
        <w:tc>
          <w:tcPr>
            <w:tcW w:type="dxa" w:w="3249"/>
          </w:tcPr>
          <w:p>
            <w:r>
              <w:t>Tool</w:t>
            </w:r>
          </w:p>
        </w:tc>
        <w:tc>
          <w:tcPr>
            <w:tcW w:type="dxa" w:w="3249"/>
          </w:tcPr>
          <w:p>
            <w:r>
              <w:t>Licence</w:t>
            </w:r>
          </w:p>
        </w:tc>
        <w:tc>
          <w:tcPr>
            <w:tcW w:type="dxa" w:w="3249"/>
          </w:tcPr>
          <w:p>
            <w:r>
              <w:t>Permitted use</w:t>
            </w:r>
          </w:p>
        </w:tc>
      </w:tr>
      <w:tr>
        <w:tc>
          <w:tcPr>
            <w:tcW w:type="dxa" w:w="3249"/>
          </w:tcPr>
          <w:p>
            <w:r>
              <w:t>[Microsoft 365 Copilot]</w:t>
            </w:r>
          </w:p>
        </w:tc>
        <w:tc>
          <w:tcPr>
            <w:tcW w:type="dxa" w:w="3249"/>
          </w:tcPr>
          <w:p>
            <w:r>
              <w:t>[Business licence, company account]</w:t>
            </w:r>
          </w:p>
        </w:tc>
        <w:tc>
          <w:tcPr>
            <w:tcW w:type="dxa" w:w="3249"/>
          </w:tcPr>
          <w:p>
            <w:r>
              <w:t>[Email, documents, meeting notes, internal information]</w:t>
            </w:r>
          </w:p>
        </w:tc>
      </w:tr>
      <w:tr>
        <w:tc>
          <w:tcPr>
            <w:tcW w:type="dxa" w:w="3249"/>
          </w:tcPr>
          <w:p>
            <w:r>
              <w:t>[ChatGPT Business]</w:t>
            </w:r>
          </w:p>
        </w:tc>
        <w:tc>
          <w:tcPr>
            <w:tcW w:type="dxa" w:w="3249"/>
          </w:tcPr>
          <w:p>
            <w:r>
              <w:t>[Business licence, company account]</w:t>
            </w:r>
          </w:p>
        </w:tc>
        <w:tc>
          <w:tcPr>
            <w:tcW w:type="dxa" w:w="3249"/>
          </w:tcPr>
          <w:p>
            <w:r>
              <w:t>[Drafts, summaries, analysis, no personal data]</w:t>
            </w:r>
          </w:p>
        </w:tc>
      </w:tr>
      <w:tr>
        <w:tc>
          <w:tcPr>
            <w:tcW w:type="dxa" w:w="3249"/>
          </w:tcPr>
          <w:p>
            <w:r>
              <w:t>[Internal knowledge assistant]</w:t>
            </w:r>
          </w:p>
        </w:tc>
        <w:tc>
          <w:tcPr>
            <w:tcW w:type="dxa" w:w="3249"/>
          </w:tcPr>
          <w:p>
            <w:r>
              <w:t>[Company's own]</w:t>
            </w:r>
          </w:p>
        </w:tc>
        <w:tc>
          <w:tcPr>
            <w:tcW w:type="dxa" w:w="3249"/>
          </w:tcPr>
          <w:p>
            <w:r>
              <w:t>[Guidelines and internal documents]</w:t>
            </w:r>
          </w:p>
        </w:tc>
      </w:tr>
    </w:tbl>
    <w:p/>
    <w:p>
      <w:r>
        <w:t>Consumer versions without a business account (for example the free ChatGPT or Gemini on a personal account) are not permitted for work matters.</w:t>
      </w:r>
    </w:p>
    <w:p>
      <w:pPr>
        <w:pStyle w:val="Heading1"/>
      </w:pPr>
      <w:r>
        <w:rPr>
          <w:color w:val="0E5F6E"/>
        </w:rPr>
        <w:t>3. Forbidden uses</w:t>
      </w:r>
    </w:p>
    <w:p>
      <w:pPr>
        <w:pStyle w:val="ListBullet"/>
      </w:pPr>
      <w:r>
        <w:t>Personal data is not entered into tools that have not been approved. In approved tools, personal data is processed only in accordance with section 4 and when necessary for the task.</w:t>
      </w:r>
    </w:p>
    <w:p>
      <w:pPr>
        <w:pStyle w:val="ListBullet"/>
      </w:pPr>
      <w:r>
        <w:t>Decisions about people (recruitment, evaluation, a customer's creditworthiness) based on AI alone without human judgement.</w:t>
      </w:r>
    </w:p>
    <w:p>
      <w:pPr>
        <w:pStyle w:val="ListBullet"/>
      </w:pPr>
      <w:r>
        <w:t>Presenting AI as a human to a customer or partner.</w:t>
      </w:r>
    </w:p>
    <w:p>
      <w:pPr>
        <w:pStyle w:val="ListBullet"/>
      </w:pPr>
      <w:r>
        <w:t>Entering passwords, API keys, access tokens, private keys or other secrets into any AI tool. There are no exceptions.</w:t>
      </w:r>
    </w:p>
    <w:p>
      <w:pPr>
        <w:pStyle w:val="ListBullet"/>
      </w:pPr>
      <w:r>
        <w:t>Entering confidential information or contracts into tools, unless separately agreed under section 4.</w:t>
      </w:r>
    </w:p>
    <w:p>
      <w:pPr>
        <w:pStyle w:val="Heading1"/>
      </w:pPr>
      <w:r>
        <w:rPr>
          <w:color w:val="0E5F6E"/>
        </w:rPr>
        <w:t>4. What data may be entered</w:t>
      </w:r>
    </w:p>
    <w:tbl>
      <w:tblPr>
        <w:tblStyle w:val="LightGrid-Accent1"/>
        <w:tblW w:type="auto" w:w="0"/>
        <w:tblLook w:firstColumn="1" w:firstRow="1" w:lastColumn="0" w:lastRow="0" w:noHBand="0" w:noVBand="1" w:val="04A0"/>
      </w:tblPr>
      <w:tblGrid>
        <w:gridCol w:w="3249"/>
        <w:gridCol w:w="3249"/>
        <w:gridCol w:w="3249"/>
      </w:tblGrid>
      <w:tr>
        <w:tc>
          <w:tcPr>
            <w:tcW w:type="dxa" w:w="3249"/>
          </w:tcPr>
          <w:p>
            <w:r>
              <w:t>Class</w:t>
            </w:r>
          </w:p>
        </w:tc>
        <w:tc>
          <w:tcPr>
            <w:tcW w:type="dxa" w:w="3249"/>
          </w:tcPr>
          <w:p>
            <w:r>
              <w:t>Examples</w:t>
            </w:r>
          </w:p>
        </w:tc>
        <w:tc>
          <w:tcPr>
            <w:tcW w:type="dxa" w:w="3249"/>
          </w:tcPr>
          <w:p>
            <w:r>
              <w:t>Rule</w:t>
            </w:r>
          </w:p>
        </w:tc>
      </w:tr>
      <w:tr>
        <w:tc>
          <w:tcPr>
            <w:tcW w:type="dxa" w:w="3249"/>
          </w:tcPr>
          <w:p>
            <w:r>
              <w:t>Green</w:t>
            </w:r>
          </w:p>
        </w:tc>
        <w:tc>
          <w:tcPr>
            <w:tcW w:type="dxa" w:w="3249"/>
          </w:tcPr>
          <w:p>
            <w:r>
              <w:t>Public information, general texts, own drafts without identifying details</w:t>
            </w:r>
          </w:p>
        </w:tc>
        <w:tc>
          <w:tcPr>
            <w:tcW w:type="dxa" w:w="3249"/>
          </w:tcPr>
          <w:p>
            <w:r>
              <w:t>May be used in all approved tools.</w:t>
            </w:r>
          </w:p>
        </w:tc>
      </w:tr>
      <w:tr>
        <w:tc>
          <w:tcPr>
            <w:tcW w:type="dxa" w:w="3249"/>
          </w:tcPr>
          <w:p>
            <w:r>
              <w:t>Yellow</w:t>
            </w:r>
          </w:p>
        </w:tc>
        <w:tc>
          <w:tcPr>
            <w:tcW w:type="dxa" w:w="3249"/>
          </w:tcPr>
          <w:p>
            <w:r>
              <w:t>Internal information: guidelines, proposal templates, internal reports</w:t>
            </w:r>
          </w:p>
        </w:tc>
        <w:tc>
          <w:tcPr>
            <w:tcW w:type="dxa" w:w="3249"/>
          </w:tcPr>
          <w:p>
            <w:r>
              <w:t>Only in approved business tools with company accounts.</w:t>
            </w:r>
          </w:p>
        </w:tc>
      </w:tr>
      <w:tr>
        <w:tc>
          <w:tcPr>
            <w:tcW w:type="dxa" w:w="3249"/>
          </w:tcPr>
          <w:p>
            <w:r>
              <w:t>Red</w:t>
            </w:r>
          </w:p>
        </w:tc>
        <w:tc>
          <w:tcPr>
            <w:tcW w:type="dxa" w:w="3249"/>
          </w:tcPr>
          <w:p>
            <w:r>
              <w:t>Personal data, customers' confidential information, contracts, [other defined by the company]</w:t>
            </w:r>
          </w:p>
        </w:tc>
        <w:tc>
          <w:tcPr>
            <w:tcW w:type="dxa" w:w="3249"/>
          </w:tcPr>
          <w:p>
            <w:r>
              <w:t>Not entered unless [name] has approved the use and the tool for that purpose.</w:t>
            </w:r>
          </w:p>
        </w:tc>
      </w:tr>
    </w:tbl>
    <w:p/>
    <w:p>
      <w:r>
        <w:t>Passwords, API keys and other secrets belong to no class: they are never entered (section 3).</w:t>
      </w:r>
    </w:p>
    <w:p>
      <w:pPr>
        <w:pStyle w:val="Heading1"/>
      </w:pPr>
      <w:r>
        <w:rPr>
          <w:color w:val="0E5F6E"/>
        </w:rPr>
        <w:t>5. Responsibility and review</w:t>
      </w:r>
    </w:p>
    <w:p>
      <w:r>
        <w:t>AI proposes, a person decides. Whoever sends, publishes or uses AI-generated content is responsible for it exactly as for their own work. Always checked: figures and prices, legal references, names of people and companies, and promises to customers.</w:t>
      </w:r>
    </w:p>
    <w:p>
      <w:pPr>
        <w:pStyle w:val="Heading1"/>
      </w:pPr>
      <w:r>
        <w:rPr>
          <w:color w:val="0E5F6E"/>
        </w:rPr>
        <w:t>6. Transparency</w:t>
      </w:r>
    </w:p>
    <w:p>
      <w:r>
        <w:t>The use of AI as an aid need not be disclosed separately. If a customer or partner is talking to an AI, this is always disclosed. A customer's question about the use of AI is answered honestly.</w:t>
      </w:r>
    </w:p>
    <w:p>
      <w:r>
        <w:t>Visibility within the company: the company can see the usage volumes of the approved tools and the apps connected to company accounts [and the web-filter logs of work computers]. The content of individual employees' conversations is not reviewed as a routine. If an incident requires handling of content, this is assessed separately on the basis of applicable law, access rights and the features of the service. Staff were informed of the technical monitoring on [dd.mm.yyyy] [and the matter was handled in the dialogue under the Co-operation Act / the staff were heard on dd.mm.yyyy]. The data is used only to ensure information security.</w:t>
      </w:r>
    </w:p>
    <w:p>
      <w:pPr>
        <w:pStyle w:val="Heading1"/>
      </w:pPr>
      <w:r>
        <w:rPr>
          <w:color w:val="0E5F6E"/>
        </w:rPr>
        <w:t>7. Training</w:t>
      </w:r>
    </w:p>
    <w:p>
      <w:r>
        <w:t>Everyone completes a short induction before being given access to AI tools, and a refresher [every year]. Attendance is recorded. In this way the company supports the development of its staff's AI literacy in line with Article 4 of the EU AI Act.</w:t>
      </w:r>
    </w:p>
    <w:p>
      <w:pPr>
        <w:pStyle w:val="Heading1"/>
      </w:pPr>
      <w:r>
        <w:rPr>
          <w:color w:val="0E5F6E"/>
        </w:rPr>
        <w:t>8. Incidents and reporting</w:t>
      </w:r>
    </w:p>
    <w:p>
      <w:r>
        <w:t>If sensitive data has been entered into a tool by mistake, or wrong AI-generated content has gone out, this is reported without delay to [name / address]. Reporting is welcome and carries no sanctions. [Name] assesses the situation and the necessary actions, if needed together with the data protection officer.</w:t>
      </w:r>
    </w:p>
    <w:p>
      <w:pPr>
        <w:pStyle w:val="Heading1"/>
      </w:pPr>
      <w:r>
        <w:rPr>
          <w:color w:val="0E5F6E"/>
        </w:rPr>
        <w:t>9. New tools and exceptions</w:t>
      </w:r>
    </w:p>
    <w:p>
      <w:r>
        <w:t>A new tool or a new use is approved by [name]. Before approval it is checked where the data is processed, whether it is used to train models, whether a data processing agreement exists and what the use costs. An answer is given within [a week].</w:t>
      </w:r>
    </w:p>
    <w:p>
      <w:pPr>
        <w:pStyle w:val="Heading1"/>
      </w:pPr>
      <w:r>
        <w:rPr>
          <w:color w:val="0E5F6E"/>
        </w:rPr>
        <w:t>10. Owner and updates</w:t>
      </w:r>
    </w:p>
    <w:p>
      <w:r>
        <w:t>The owner of the policy is [name, role]. The policy is reviewed [every six months] and whenever the list of approved tools changes. The current version is kept at [location].</w:t>
      </w:r>
    </w:p>
    <w:p/>
    <w:p>
      <w:r>
        <w:t>I have read and understood this policy.    Name: ____________________    Date: ____________</w:t>
      </w:r>
    </w:p>
    <w:p>
      <w:r>
        <w:rPr>
          <w:color w:val="51616F"/>
          <w:sz w:val="16"/>
        </w:rPr>
        <w:t>Template: Työäly (tyoaly.fi). Practical guidance, not legal advice. May be edited freely.</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